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C6C26" w14:textId="4E3F8303" w:rsidR="007309B6" w:rsidRPr="00446F9D" w:rsidRDefault="007309B6" w:rsidP="007309B6">
      <w:pPr>
        <w:pStyle w:val="Header"/>
        <w:rPr>
          <w:i/>
        </w:rPr>
      </w:pPr>
      <w:bookmarkStart w:id="0" w:name="OLE_LINK1"/>
      <w:bookmarkStart w:id="1" w:name="OLE_LINK2"/>
      <w:r w:rsidRPr="00446F9D">
        <w:t>TSG-RAN WG1 #</w:t>
      </w:r>
      <w:r>
        <w:t>84bis</w:t>
      </w:r>
      <w:r w:rsidRPr="00446F9D">
        <w:tab/>
      </w:r>
      <w:r>
        <w:tab/>
      </w:r>
      <w:r>
        <w:tab/>
      </w:r>
      <w:r>
        <w:tab/>
      </w:r>
      <w:r>
        <w:tab/>
      </w:r>
      <w:r>
        <w:tab/>
      </w:r>
      <w:r>
        <w:tab/>
      </w:r>
      <w:r>
        <w:tab/>
      </w:r>
      <w:r>
        <w:tab/>
      </w:r>
      <w:r>
        <w:tab/>
      </w:r>
      <w:r>
        <w:tab/>
      </w:r>
      <w:r>
        <w:tab/>
      </w:r>
      <w:r w:rsidRPr="00446F9D">
        <w:t>R1-</w:t>
      </w:r>
      <w:r>
        <w:t>16</w:t>
      </w:r>
      <w:r w:rsidR="002147FB">
        <w:t>3219</w:t>
      </w:r>
    </w:p>
    <w:p w14:paraId="7B3DBA01" w14:textId="77777777" w:rsidR="007309B6" w:rsidRPr="000833FA" w:rsidRDefault="007309B6" w:rsidP="007309B6">
      <w:pPr>
        <w:pStyle w:val="Header"/>
        <w:rPr>
          <w:color w:val="000000"/>
        </w:rPr>
      </w:pPr>
      <w:r>
        <w:t>Busan</w:t>
      </w:r>
      <w:r w:rsidRPr="000833FA">
        <w:t xml:space="preserve">, </w:t>
      </w:r>
      <w:r>
        <w:t>South Korea</w:t>
      </w:r>
      <w:r w:rsidRPr="000833FA">
        <w:t>,</w:t>
      </w:r>
      <w:r>
        <w:t xml:space="preserve"> April 11 – 15, 2016</w:t>
      </w:r>
    </w:p>
    <w:p w14:paraId="0A15AE27" w14:textId="77777777" w:rsidR="007309B6" w:rsidRPr="000833FA" w:rsidRDefault="007309B6" w:rsidP="007309B6">
      <w:pPr>
        <w:pStyle w:val="Header"/>
      </w:pPr>
    </w:p>
    <w:p w14:paraId="7CC6D652" w14:textId="77777777" w:rsidR="007309B6" w:rsidRPr="0003368D" w:rsidRDefault="007309B6" w:rsidP="007309B6">
      <w:pPr>
        <w:pStyle w:val="Header"/>
        <w:tabs>
          <w:tab w:val="left" w:pos="1800"/>
        </w:tabs>
        <w:ind w:left="1800" w:hanging="1800"/>
      </w:pPr>
      <w:r w:rsidRPr="0003368D">
        <w:t>Source:</w:t>
      </w:r>
      <w:r w:rsidRPr="0003368D">
        <w:tab/>
        <w:t>Ericsson</w:t>
      </w:r>
    </w:p>
    <w:p w14:paraId="731904EB" w14:textId="2DD598B3" w:rsidR="007309B6" w:rsidRPr="00F64D4A" w:rsidRDefault="007309B6" w:rsidP="007309B6">
      <w:pPr>
        <w:pStyle w:val="Header"/>
        <w:tabs>
          <w:tab w:val="left" w:pos="1800"/>
        </w:tabs>
      </w:pPr>
      <w:r w:rsidRPr="0003368D">
        <w:t>Title:</w:t>
      </w:r>
      <w:r w:rsidRPr="0003368D">
        <w:tab/>
      </w:r>
      <w:r w:rsidRPr="00C66159">
        <w:t xml:space="preserve">On sidelink support in </w:t>
      </w:r>
      <w:r w:rsidR="002147FB">
        <w:t>NR</w:t>
      </w:r>
    </w:p>
    <w:p w14:paraId="21DE9240" w14:textId="1B409E3D" w:rsidR="007309B6" w:rsidRPr="0003368D" w:rsidRDefault="007309B6" w:rsidP="007309B6">
      <w:pPr>
        <w:pStyle w:val="Header"/>
        <w:tabs>
          <w:tab w:val="left" w:pos="1800"/>
        </w:tabs>
      </w:pPr>
      <w:r w:rsidRPr="0003368D">
        <w:t>Agenda Item:</w:t>
      </w:r>
      <w:bookmarkStart w:id="2" w:name="Source"/>
      <w:bookmarkEnd w:id="2"/>
      <w:r w:rsidRPr="0003368D">
        <w:tab/>
      </w:r>
      <w:r w:rsidR="002147FB">
        <w:t>8.1.2</w:t>
      </w:r>
    </w:p>
    <w:p w14:paraId="729D63DC" w14:textId="77777777" w:rsidR="007309B6" w:rsidRPr="0003368D" w:rsidRDefault="007309B6" w:rsidP="007309B6">
      <w:pPr>
        <w:pStyle w:val="Header"/>
        <w:tabs>
          <w:tab w:val="left" w:pos="1800"/>
        </w:tabs>
      </w:pPr>
      <w:r w:rsidRPr="0003368D">
        <w:t>Document for:</w:t>
      </w:r>
      <w:r w:rsidRPr="0003368D">
        <w:tab/>
      </w:r>
      <w:bookmarkStart w:id="3" w:name="DocumentFor"/>
      <w:bookmarkEnd w:id="3"/>
      <w:r w:rsidRPr="0003368D">
        <w:t xml:space="preserve">Discussion </w:t>
      </w:r>
      <w:r>
        <w:t>and Decision</w:t>
      </w:r>
    </w:p>
    <w:p w14:paraId="143ACD6E" w14:textId="4D60F837" w:rsidR="00D00AE7" w:rsidRPr="00173344" w:rsidRDefault="00D00AE7" w:rsidP="00D00AE7">
      <w:pPr>
        <w:pStyle w:val="Heading1"/>
        <w:pBdr>
          <w:top w:val="single" w:sz="12" w:space="0" w:color="auto"/>
        </w:pBdr>
        <w:rPr>
          <w:lang w:val="en-US"/>
        </w:rPr>
      </w:pPr>
      <w:bookmarkStart w:id="4" w:name="_Ref298777854"/>
      <w:bookmarkEnd w:id="0"/>
      <w:bookmarkEnd w:id="1"/>
      <w:r w:rsidRPr="00310B2F">
        <w:rPr>
          <w:lang w:val="en-US"/>
        </w:rPr>
        <w:t>Introduction</w:t>
      </w:r>
      <w:bookmarkEnd w:id="4"/>
    </w:p>
    <w:p w14:paraId="4A965577" w14:textId="39F23123" w:rsidR="009B7FE9" w:rsidRDefault="009B7FE9" w:rsidP="00173344">
      <w:pPr>
        <w:pStyle w:val="BodyText"/>
        <w:rPr>
          <w:rFonts w:cs="Arial"/>
        </w:rPr>
      </w:pPr>
      <w:r>
        <w:rPr>
          <w:rFonts w:cs="Arial"/>
        </w:rPr>
        <w:t xml:space="preserve">LTE is an attractive technology for providing mobile broadband </w:t>
      </w:r>
      <w:r w:rsidR="00B81396">
        <w:rPr>
          <w:rFonts w:cs="Arial"/>
        </w:rPr>
        <w:t>as well as</w:t>
      </w:r>
      <w:r>
        <w:rPr>
          <w:rFonts w:cs="Arial"/>
        </w:rPr>
        <w:t xml:space="preserve"> </w:t>
      </w:r>
      <w:r w:rsidR="00B81396">
        <w:rPr>
          <w:rFonts w:cs="Arial"/>
        </w:rPr>
        <w:t>other type of services that traditionally operated outside the cellular domain. For example, national security and public safety (NSPS)</w:t>
      </w:r>
      <w:r w:rsidR="00346E45">
        <w:rPr>
          <w:rFonts w:cs="Arial"/>
        </w:rPr>
        <w:t>, intelligent transportation system (ITS)</w:t>
      </w:r>
      <w:r w:rsidR="00B81396">
        <w:rPr>
          <w:rFonts w:cs="Arial"/>
        </w:rPr>
        <w:t xml:space="preserve"> and vehicle-to-vehicle </w:t>
      </w:r>
      <w:r w:rsidR="00A56719">
        <w:rPr>
          <w:rFonts w:cs="Arial"/>
        </w:rPr>
        <w:t xml:space="preserve">(V2V) </w:t>
      </w:r>
      <w:r w:rsidR="00B81396">
        <w:rPr>
          <w:rFonts w:cs="Arial"/>
        </w:rPr>
        <w:t xml:space="preserve">services can be built on LTE as a baseline technology due to recently added </w:t>
      </w:r>
      <w:r w:rsidR="00A56719">
        <w:rPr>
          <w:rFonts w:cs="Arial"/>
        </w:rPr>
        <w:t xml:space="preserve">and currently developed </w:t>
      </w:r>
      <w:r w:rsidR="00B81396">
        <w:rPr>
          <w:rFonts w:cs="Arial"/>
        </w:rPr>
        <w:t xml:space="preserve">features enabled by the LTE </w:t>
      </w:r>
      <w:proofErr w:type="spellStart"/>
      <w:r w:rsidR="00B81396">
        <w:rPr>
          <w:rFonts w:cs="Arial"/>
        </w:rPr>
        <w:t>sidelink</w:t>
      </w:r>
      <w:proofErr w:type="spellEnd"/>
      <w:r w:rsidR="00B81396">
        <w:rPr>
          <w:rFonts w:cs="Arial"/>
        </w:rPr>
        <w:t xml:space="preserve"> and proximity service</w:t>
      </w:r>
      <w:r w:rsidR="0020189A">
        <w:rPr>
          <w:rFonts w:cs="Arial"/>
        </w:rPr>
        <w:t>s</w:t>
      </w:r>
      <w:r w:rsidR="00B81396">
        <w:rPr>
          <w:rFonts w:cs="Arial"/>
        </w:rPr>
        <w:t xml:space="preserve"> solutions. </w:t>
      </w:r>
    </w:p>
    <w:p w14:paraId="7AE27D57" w14:textId="6309F118" w:rsidR="00F90844" w:rsidRPr="0020189A" w:rsidRDefault="00B81396" w:rsidP="0020189A">
      <w:pPr>
        <w:pStyle w:val="BodyText"/>
        <w:rPr>
          <w:rFonts w:cs="Arial"/>
        </w:rPr>
      </w:pPr>
      <w:r>
        <w:rPr>
          <w:rFonts w:cs="Arial"/>
        </w:rPr>
        <w:t xml:space="preserve">As the 3GPP starts working on technology components that will be part of a new radio interface meeting the requirements of </w:t>
      </w:r>
      <w:r w:rsidR="0020189A">
        <w:rPr>
          <w:rFonts w:cs="Arial"/>
        </w:rPr>
        <w:t>next generation mobile communication systems [1], [2], [3], there is a need to enhance the capabilities that allow devices in the proximity of one another to communicate. Device-to-device communica</w:t>
      </w:r>
      <w:r w:rsidR="009F3FFA">
        <w:rPr>
          <w:rFonts w:cs="Arial"/>
        </w:rPr>
        <w:t>tions, including point-to-point and</w:t>
      </w:r>
      <w:r w:rsidR="0020189A">
        <w:rPr>
          <w:rFonts w:cs="Arial"/>
        </w:rPr>
        <w:t xml:space="preserve"> point-to multipoint communication scenarios must be supported by the next generation systems for multiple reasons, including:</w:t>
      </w:r>
    </w:p>
    <w:p w14:paraId="1481609F" w14:textId="7CC0918B" w:rsidR="0020189A" w:rsidRDefault="00F90844" w:rsidP="0020189A">
      <w:pPr>
        <w:numPr>
          <w:ilvl w:val="0"/>
          <w:numId w:val="41"/>
        </w:numPr>
        <w:overflowPunct/>
        <w:autoSpaceDE/>
        <w:autoSpaceDN/>
        <w:adjustRightInd/>
        <w:spacing w:before="100" w:beforeAutospacing="1" w:after="100" w:afterAutospacing="1"/>
        <w:jc w:val="left"/>
        <w:textAlignment w:val="auto"/>
        <w:rPr>
          <w:rFonts w:cs="Arial"/>
          <w:lang w:val="en-US" w:eastAsia="en-US"/>
        </w:rPr>
      </w:pPr>
      <w:r w:rsidRPr="00F90844">
        <w:rPr>
          <w:rFonts w:cs="Arial"/>
          <w:lang w:val="en-US" w:eastAsia="en-US"/>
        </w:rPr>
        <w:t xml:space="preserve">D2D </w:t>
      </w:r>
      <w:r w:rsidR="009F3FFA">
        <w:rPr>
          <w:rFonts w:cs="Arial"/>
          <w:lang w:val="en-US" w:eastAsia="en-US"/>
        </w:rPr>
        <w:t xml:space="preserve">communication </w:t>
      </w:r>
      <w:r w:rsidRPr="00F90844">
        <w:rPr>
          <w:rFonts w:cs="Arial"/>
          <w:lang w:val="en-US" w:eastAsia="en-US"/>
        </w:rPr>
        <w:t xml:space="preserve">allows devices in close proximity to communicate directly with each other, thereby enabling authorities </w:t>
      </w:r>
      <w:r w:rsidR="0020189A">
        <w:rPr>
          <w:rFonts w:cs="Arial"/>
          <w:lang w:val="en-US" w:eastAsia="en-US"/>
        </w:rPr>
        <w:t xml:space="preserve">and rescue personnel </w:t>
      </w:r>
      <w:r w:rsidRPr="00F90844">
        <w:rPr>
          <w:rFonts w:cs="Arial"/>
          <w:lang w:val="en-US" w:eastAsia="en-US"/>
        </w:rPr>
        <w:t xml:space="preserve">to communicate out-of-network-coverage or </w:t>
      </w:r>
      <w:bookmarkStart w:id="5" w:name="_GoBack"/>
      <w:bookmarkEnd w:id="5"/>
      <w:r w:rsidRPr="00F90844">
        <w:rPr>
          <w:rFonts w:cs="Arial"/>
          <w:lang w:val="en-US" w:eastAsia="en-US"/>
        </w:rPr>
        <w:t xml:space="preserve">during network outages (e.g. in case of a natural disaster). </w:t>
      </w:r>
      <w:r w:rsidR="009F3FFA">
        <w:rPr>
          <w:rFonts w:cs="Arial"/>
          <w:lang w:val="en-US" w:eastAsia="en-US"/>
        </w:rPr>
        <w:br/>
      </w:r>
    </w:p>
    <w:p w14:paraId="3A61915E" w14:textId="029C7F3B" w:rsidR="009F3FFA" w:rsidRPr="0020189A" w:rsidRDefault="009F3FFA" w:rsidP="0020189A">
      <w:pPr>
        <w:numPr>
          <w:ilvl w:val="0"/>
          <w:numId w:val="41"/>
        </w:numPr>
        <w:overflowPunct/>
        <w:autoSpaceDE/>
        <w:autoSpaceDN/>
        <w:adjustRightInd/>
        <w:spacing w:before="100" w:beforeAutospacing="1" w:after="100" w:afterAutospacing="1"/>
        <w:jc w:val="left"/>
        <w:textAlignment w:val="auto"/>
        <w:rPr>
          <w:rFonts w:cs="Arial"/>
          <w:lang w:val="en-US" w:eastAsia="en-US"/>
        </w:rPr>
      </w:pPr>
      <w:r>
        <w:rPr>
          <w:rFonts w:cs="Arial"/>
          <w:lang w:val="en-US" w:eastAsia="en-US"/>
        </w:rPr>
        <w:t xml:space="preserve">D2D communication can capitalize on the proximity of communicating entities (proximity gain), saving resources by using a single </w:t>
      </w:r>
      <w:proofErr w:type="spellStart"/>
      <w:r>
        <w:rPr>
          <w:rFonts w:cs="Arial"/>
          <w:lang w:val="en-US" w:eastAsia="en-US"/>
        </w:rPr>
        <w:t>sidelink</w:t>
      </w:r>
      <w:proofErr w:type="spellEnd"/>
      <w:r>
        <w:rPr>
          <w:rFonts w:cs="Arial"/>
          <w:lang w:val="en-US" w:eastAsia="en-US"/>
        </w:rPr>
        <w:t xml:space="preserve"> transmission instead of involving a combination of uplink/downlink transmission (hop gain) and potentially increase the spatial reuse of resources between </w:t>
      </w:r>
      <w:proofErr w:type="spellStart"/>
      <w:r>
        <w:rPr>
          <w:rFonts w:cs="Arial"/>
          <w:lang w:val="en-US" w:eastAsia="en-US"/>
        </w:rPr>
        <w:t>sidelink</w:t>
      </w:r>
      <w:proofErr w:type="spellEnd"/>
      <w:r>
        <w:rPr>
          <w:rFonts w:cs="Arial"/>
          <w:lang w:val="en-US" w:eastAsia="en-US"/>
        </w:rPr>
        <w:t xml:space="preserve"> and cellular transmissions (reuse gain) [4];</w:t>
      </w:r>
    </w:p>
    <w:p w14:paraId="2F68A80E" w14:textId="77777777" w:rsidR="00F90844" w:rsidRPr="00F90844" w:rsidRDefault="00F90844" w:rsidP="00F90844">
      <w:pPr>
        <w:numPr>
          <w:ilvl w:val="0"/>
          <w:numId w:val="42"/>
        </w:numPr>
        <w:overflowPunct/>
        <w:autoSpaceDE/>
        <w:autoSpaceDN/>
        <w:adjustRightInd/>
        <w:spacing w:before="100" w:beforeAutospacing="1" w:after="100" w:afterAutospacing="1" w:line="276" w:lineRule="auto"/>
        <w:jc w:val="left"/>
        <w:textAlignment w:val="auto"/>
        <w:rPr>
          <w:rFonts w:ascii="Calibri" w:hAnsi="Calibri"/>
          <w:sz w:val="22"/>
          <w:szCs w:val="22"/>
          <w:lang w:val="en-US" w:eastAsia="en-US"/>
        </w:rPr>
      </w:pPr>
      <w:r w:rsidRPr="00F90844">
        <w:rPr>
          <w:rFonts w:cs="Arial"/>
          <w:lang w:val="en-US" w:eastAsia="en-US"/>
        </w:rPr>
        <w:t>Group communications allow authorities to create and dissolve groups on demand with resource efficient communications (e.g. multicast) within the group.</w:t>
      </w:r>
    </w:p>
    <w:p w14:paraId="04252E7D" w14:textId="77777777" w:rsidR="00346E45" w:rsidRDefault="008C2674" w:rsidP="00D00AE7">
      <w:pPr>
        <w:rPr>
          <w:lang w:val="en-US"/>
        </w:rPr>
      </w:pPr>
      <w:r>
        <w:rPr>
          <w:lang w:val="en-US"/>
        </w:rPr>
        <w:t xml:space="preserve">In the light of the above observations, we propose that the </w:t>
      </w:r>
      <w:proofErr w:type="spellStart"/>
      <w:r>
        <w:rPr>
          <w:lang w:val="en-US"/>
        </w:rPr>
        <w:t>sidelink</w:t>
      </w:r>
      <w:proofErr w:type="spellEnd"/>
      <w:r>
        <w:rPr>
          <w:lang w:val="en-US"/>
        </w:rPr>
        <w:t xml:space="preserve"> is designed as a natural part of next generation systems, such that the </w:t>
      </w:r>
      <w:proofErr w:type="spellStart"/>
      <w:r>
        <w:rPr>
          <w:lang w:val="en-US"/>
        </w:rPr>
        <w:t>sidelink</w:t>
      </w:r>
      <w:proofErr w:type="spellEnd"/>
      <w:r>
        <w:rPr>
          <w:lang w:val="en-US"/>
        </w:rPr>
        <w:t xml:space="preserve"> is supported in all frequency bands in which such systems are designed for. </w:t>
      </w:r>
    </w:p>
    <w:p w14:paraId="4278DEC9" w14:textId="77777777" w:rsidR="00346E45" w:rsidRPr="008C2674" w:rsidRDefault="00346E45" w:rsidP="00346E45">
      <w:pPr>
        <w:pStyle w:val="TOC1"/>
        <w:rPr>
          <w:rFonts w:asciiTheme="minorHAnsi" w:eastAsiaTheme="minorEastAsia" w:hAnsiTheme="minorHAnsi" w:cstheme="minorBidi"/>
          <w:sz w:val="22"/>
          <w:lang w:eastAsia="en-US"/>
        </w:rPr>
      </w:pPr>
      <w:r w:rsidRPr="008C2674">
        <w:rPr>
          <w:rFonts w:asciiTheme="minorHAnsi" w:eastAsiaTheme="minorEastAsia" w:hAnsiTheme="minorHAnsi" w:cstheme="minorBidi"/>
          <w:sz w:val="22"/>
          <w:lang w:eastAsia="en-US"/>
        </w:rPr>
        <w:t>Proposal</w:t>
      </w:r>
      <w:r>
        <w:rPr>
          <w:rFonts w:asciiTheme="minorHAnsi" w:eastAsiaTheme="minorEastAsia" w:hAnsiTheme="minorHAnsi" w:cstheme="minorBidi"/>
          <w:sz w:val="22"/>
          <w:lang w:eastAsia="en-US"/>
        </w:rPr>
        <w:t xml:space="preserve"> 1</w:t>
      </w:r>
      <w:r w:rsidRPr="008C2674">
        <w:rPr>
          <w:rFonts w:asciiTheme="minorHAnsi" w:eastAsiaTheme="minorEastAsia" w:hAnsiTheme="minorHAnsi" w:cstheme="minorBidi"/>
          <w:sz w:val="22"/>
          <w:lang w:eastAsia="en-US"/>
        </w:rPr>
        <w:tab/>
      </w:r>
      <w:r>
        <w:rPr>
          <w:rFonts w:asciiTheme="minorHAnsi" w:eastAsiaTheme="minorEastAsia" w:hAnsiTheme="minorHAnsi" w:cstheme="minorBidi"/>
          <w:b w:val="0"/>
          <w:sz w:val="22"/>
          <w:lang w:eastAsia="en-US"/>
        </w:rPr>
        <w:t>For NR</w:t>
      </w:r>
      <w:r w:rsidRPr="008C2674">
        <w:rPr>
          <w:rFonts w:asciiTheme="minorHAnsi" w:eastAsiaTheme="minorEastAsia" w:hAnsiTheme="minorHAnsi" w:cstheme="minorBidi"/>
          <w:b w:val="0"/>
          <w:sz w:val="22"/>
          <w:lang w:eastAsia="en-US"/>
        </w:rPr>
        <w:t xml:space="preserve">, </w:t>
      </w:r>
      <w:r>
        <w:rPr>
          <w:rFonts w:asciiTheme="minorHAnsi" w:eastAsiaTheme="minorEastAsia" w:hAnsiTheme="minorHAnsi" w:cstheme="minorBidi"/>
          <w:b w:val="0"/>
          <w:sz w:val="22"/>
          <w:lang w:eastAsia="en-US"/>
        </w:rPr>
        <w:t>sidelink should be designed as an integrated part of the system. This implies that the sidelink frame structure, waveform and other aspects should be as similar as possible to the design of similar features of UL and DL.</w:t>
      </w:r>
    </w:p>
    <w:p w14:paraId="5D43B401" w14:textId="77777777" w:rsidR="00346E45" w:rsidRDefault="00346E45" w:rsidP="00D00AE7">
      <w:pPr>
        <w:rPr>
          <w:lang w:val="en-US"/>
        </w:rPr>
      </w:pPr>
    </w:p>
    <w:p w14:paraId="2B07F3D5" w14:textId="4D928A2C" w:rsidR="00D867C4" w:rsidRDefault="00A56719" w:rsidP="00D00AE7">
      <w:pPr>
        <w:rPr>
          <w:lang w:val="en-US"/>
        </w:rPr>
      </w:pPr>
      <w:r>
        <w:rPr>
          <w:lang w:val="en-US"/>
        </w:rPr>
        <w:t>This contribution outlines a small set of scenarios and discusses associated high level requirements.</w:t>
      </w:r>
    </w:p>
    <w:p w14:paraId="2EE7A1D8" w14:textId="48872EF4" w:rsidR="00D00AE7" w:rsidRDefault="002D24E1" w:rsidP="00D00AE7">
      <w:pPr>
        <w:pStyle w:val="Heading1"/>
      </w:pPr>
      <w:r>
        <w:t>NR</w:t>
      </w:r>
      <w:r w:rsidR="00DF1FAA">
        <w:t xml:space="preserve"> </w:t>
      </w:r>
      <w:proofErr w:type="spellStart"/>
      <w:r w:rsidR="00DF1FAA">
        <w:t>Sidelink</w:t>
      </w:r>
      <w:proofErr w:type="spellEnd"/>
      <w:r w:rsidR="00DF1FAA">
        <w:t xml:space="preserve"> Scenarios</w:t>
      </w:r>
    </w:p>
    <w:p w14:paraId="1A87D269" w14:textId="77777777" w:rsidR="00346E45" w:rsidRDefault="00346E45" w:rsidP="00346E45">
      <w:pPr>
        <w:rPr>
          <w:lang w:val="en-US"/>
        </w:rPr>
      </w:pPr>
      <w:r>
        <w:rPr>
          <w:lang w:val="en-US"/>
        </w:rPr>
        <w:t xml:space="preserve">Figure 1 depicts scenarios that should be supported by the next generation of cellular systems. The left hand side scenarios involve a UE that provides a relaying service to a UE close to a cell border or outside cellular coverage. This scenario may also involve multiple UEs at the cell border or outside network coverage that are sufficiently close to a device within coverage. For example, in case some but not all of the infrastructure nodes become dysfunctional due to a disaster, maintaining cellular access by means of provisionally set up or handheld devices can be vital for victims outside network coverage. In these situations, providing reliable communication links via a </w:t>
      </w:r>
      <w:proofErr w:type="spellStart"/>
      <w:r>
        <w:rPr>
          <w:lang w:val="en-US"/>
        </w:rPr>
        <w:t>sidelink</w:t>
      </w:r>
      <w:proofErr w:type="spellEnd"/>
      <w:r>
        <w:rPr>
          <w:lang w:val="en-US"/>
        </w:rPr>
        <w:t xml:space="preserve"> is an important requirement.</w:t>
      </w:r>
    </w:p>
    <w:p w14:paraId="0287E1C0" w14:textId="77777777" w:rsidR="00173344" w:rsidRPr="007309B6" w:rsidRDefault="00173344" w:rsidP="00173344">
      <w:pPr>
        <w:pStyle w:val="BodyText"/>
        <w:rPr>
          <w:lang w:val="en-US"/>
        </w:rPr>
      </w:pPr>
    </w:p>
    <w:p w14:paraId="59D41CFD" w14:textId="7A548BCE" w:rsidR="00A56719" w:rsidRDefault="00766ABA" w:rsidP="00A56719">
      <w:pPr>
        <w:pStyle w:val="BodyText"/>
        <w:jc w:val="center"/>
      </w:pPr>
      <w:r w:rsidRPr="00766ABA">
        <w:rPr>
          <w:noProof/>
          <w:lang w:val="en-US" w:eastAsia="en-US"/>
        </w:rPr>
        <w:lastRenderedPageBreak/>
        <w:drawing>
          <wp:inline distT="0" distB="0" distL="0" distR="0" wp14:anchorId="28D2AC22" wp14:editId="444F510F">
            <wp:extent cx="4539360" cy="219334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38689" cy="2193017"/>
                    </a:xfrm>
                    <a:prstGeom prst="rect">
                      <a:avLst/>
                    </a:prstGeom>
                    <a:noFill/>
                    <a:ln>
                      <a:noFill/>
                    </a:ln>
                  </pic:spPr>
                </pic:pic>
              </a:graphicData>
            </a:graphic>
          </wp:inline>
        </w:drawing>
      </w:r>
    </w:p>
    <w:p w14:paraId="3968F7FE" w14:textId="3335B4D5" w:rsidR="00A56719" w:rsidRDefault="00A56719" w:rsidP="00173344">
      <w:pPr>
        <w:pStyle w:val="BodyText"/>
      </w:pPr>
      <w:r w:rsidRPr="007D05A6">
        <w:rPr>
          <w:b/>
        </w:rPr>
        <w:t>Figure 1:</w:t>
      </w:r>
      <w:r>
        <w:t xml:space="preserve"> </w:t>
      </w:r>
      <w:r w:rsidR="009F3FFA" w:rsidRPr="007D05A6">
        <w:rPr>
          <w:b/>
        </w:rPr>
        <w:t>Examples on c</w:t>
      </w:r>
      <w:r w:rsidRPr="007D05A6">
        <w:rPr>
          <w:b/>
        </w:rPr>
        <w:t>ommunica</w:t>
      </w:r>
      <w:r w:rsidR="002D24E1" w:rsidRPr="007D05A6">
        <w:rPr>
          <w:b/>
        </w:rPr>
        <w:t>tion scenarios facilitated by NR</w:t>
      </w:r>
      <w:r w:rsidRPr="007D05A6">
        <w:rPr>
          <w:b/>
        </w:rPr>
        <w:t xml:space="preserve"> </w:t>
      </w:r>
      <w:proofErr w:type="spellStart"/>
      <w:r w:rsidRPr="007D05A6">
        <w:rPr>
          <w:b/>
        </w:rPr>
        <w:t>sidelink</w:t>
      </w:r>
      <w:proofErr w:type="spellEnd"/>
      <w:r w:rsidRPr="007D05A6">
        <w:rPr>
          <w:b/>
        </w:rPr>
        <w:t xml:space="preserve"> and direct D2D communications.</w:t>
      </w:r>
    </w:p>
    <w:p w14:paraId="4FD539AF" w14:textId="77777777" w:rsidR="00A56719" w:rsidRDefault="00A56719" w:rsidP="00173344">
      <w:pPr>
        <w:pStyle w:val="BodyText"/>
      </w:pPr>
    </w:p>
    <w:p w14:paraId="213F6A37" w14:textId="575F05C8" w:rsidR="00075D48" w:rsidRDefault="00075D48" w:rsidP="00A56719">
      <w:pPr>
        <w:rPr>
          <w:lang w:val="en-US"/>
        </w:rPr>
      </w:pPr>
      <w:r>
        <w:rPr>
          <w:lang w:val="en-US"/>
        </w:rPr>
        <w:t xml:space="preserve">The right hand side figures illustrate scenarios in which </w:t>
      </w:r>
      <w:r w:rsidR="00E32B18">
        <w:rPr>
          <w:lang w:val="en-US"/>
        </w:rPr>
        <w:t>two devices in the proximity of each other exchange data with one another. That is</w:t>
      </w:r>
      <w:r w:rsidR="00DB0420">
        <w:rPr>
          <w:lang w:val="en-US"/>
        </w:rPr>
        <w:t>,</w:t>
      </w:r>
      <w:r w:rsidR="00E32B18">
        <w:rPr>
          <w:lang w:val="en-US"/>
        </w:rPr>
        <w:t xml:space="preserve"> as opposed to the relaying scenarios on the left hand side, the source and destination of traffic in this case are both a UE. </w:t>
      </w:r>
      <w:r w:rsidR="00DF1FAA">
        <w:rPr>
          <w:lang w:val="en-US"/>
        </w:rPr>
        <w:t xml:space="preserve">In the upper right scenario, both UE are in the coverage of an </w:t>
      </w:r>
      <w:proofErr w:type="spellStart"/>
      <w:r w:rsidR="00DF1FAA">
        <w:rPr>
          <w:lang w:val="en-US"/>
        </w:rPr>
        <w:t>eNB</w:t>
      </w:r>
      <w:proofErr w:type="spellEnd"/>
      <w:r w:rsidR="00DF1FAA">
        <w:rPr>
          <w:lang w:val="en-US"/>
        </w:rPr>
        <w:t xml:space="preserve">, while in the lower right scenario one of the UE is outside coverage but in the proximity of another UE with which it should be able to communicate. Such capability can be vital in a disaster situation in which rescue personnel must be able to communicate </w:t>
      </w:r>
      <w:r w:rsidR="00EE7B39">
        <w:rPr>
          <w:lang w:val="en-US"/>
        </w:rPr>
        <w:t xml:space="preserve">reliably </w:t>
      </w:r>
      <w:r w:rsidR="00DF1FAA">
        <w:rPr>
          <w:lang w:val="en-US"/>
        </w:rPr>
        <w:t>with a person without network coverage.</w:t>
      </w:r>
    </w:p>
    <w:p w14:paraId="1496DCDF" w14:textId="7438BADF" w:rsidR="00DF1FAA" w:rsidRDefault="00DF1FAA" w:rsidP="00A56719">
      <w:pPr>
        <w:rPr>
          <w:lang w:val="en-US"/>
        </w:rPr>
      </w:pPr>
      <w:r>
        <w:rPr>
          <w:lang w:val="en-US"/>
        </w:rPr>
        <w:t xml:space="preserve">A common aspect of all four communication scenarios is that they all involve information exchange between at least a pair of devices in a point-to-point fashion. </w:t>
      </w:r>
    </w:p>
    <w:p w14:paraId="36BF6BED" w14:textId="6BEDF7AC" w:rsidR="00DF1FAA" w:rsidRDefault="005C1711" w:rsidP="005C1711">
      <w:pPr>
        <w:pStyle w:val="Heading1"/>
      </w:pPr>
      <w:r>
        <w:t>Discussion</w:t>
      </w:r>
    </w:p>
    <w:p w14:paraId="192B5C89" w14:textId="323908FF" w:rsidR="005C1711" w:rsidRDefault="005C1711" w:rsidP="005C1711">
      <w:r>
        <w:t xml:space="preserve">The </w:t>
      </w:r>
      <w:proofErr w:type="spellStart"/>
      <w:r>
        <w:t>sidelink</w:t>
      </w:r>
      <w:proofErr w:type="spellEnd"/>
      <w:r>
        <w:t xml:space="preserve"> sc</w:t>
      </w:r>
      <w:r w:rsidR="00DB0420">
        <w:t>enarios depicted in Figure 1 have</w:t>
      </w:r>
      <w:r>
        <w:t xml:space="preserve"> some relevant technical aspects that must be taken into account when discussing possible solution approaches. </w:t>
      </w:r>
    </w:p>
    <w:p w14:paraId="5EE40057" w14:textId="6BFF37F4" w:rsidR="005C1711" w:rsidRDefault="005C1711" w:rsidP="005C1711">
      <w:r>
        <w:t xml:space="preserve">In the </w:t>
      </w:r>
      <w:r w:rsidR="00766ABA">
        <w:t xml:space="preserve">left hand side (relaying) scenarios the relaying UE is assumed to be in cellular coverage that allows it to maintain user and control plane association with an </w:t>
      </w:r>
      <w:proofErr w:type="spellStart"/>
      <w:r w:rsidR="00766ABA">
        <w:t>eNB</w:t>
      </w:r>
      <w:proofErr w:type="spellEnd"/>
      <w:r w:rsidR="00766ABA">
        <w:t xml:space="preserve">. However, some of the UE that traffic is relayed to/from may be out of coverage. Therefore, for these UEs user or control plane association with an </w:t>
      </w:r>
      <w:proofErr w:type="spellStart"/>
      <w:r w:rsidR="00766ABA">
        <w:t>eNB</w:t>
      </w:r>
      <w:proofErr w:type="spellEnd"/>
      <w:r w:rsidR="00766ABA">
        <w:t xml:space="preserve"> cannot be assumed.</w:t>
      </w:r>
    </w:p>
    <w:p w14:paraId="21E4DD2B" w14:textId="214495AF" w:rsidR="00416DEE" w:rsidRDefault="00416DEE" w:rsidP="00416DEE">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sidR="00346E45">
        <w:rPr>
          <w:rFonts w:asciiTheme="minorHAnsi" w:eastAsiaTheme="minorEastAsia" w:hAnsiTheme="minorHAnsi" w:cstheme="minorBidi"/>
          <w:b w:val="0"/>
          <w:sz w:val="22"/>
          <w:lang w:eastAsia="en-US"/>
        </w:rPr>
        <w:t>Unicast</w:t>
      </w:r>
      <w:r w:rsidR="00C93AD9">
        <w:rPr>
          <w:rFonts w:asciiTheme="minorHAnsi" w:eastAsiaTheme="minorEastAsia" w:hAnsiTheme="minorHAnsi" w:cstheme="minorBidi"/>
          <w:b w:val="0"/>
          <w:sz w:val="22"/>
          <w:lang w:eastAsia="en-US"/>
        </w:rPr>
        <w:t xml:space="preserve"> D2D communications for relaying and coverage extension must be supported in full cellular coverage and partial coverage situations.</w:t>
      </w:r>
    </w:p>
    <w:p w14:paraId="4720691E" w14:textId="77777777" w:rsidR="00416DEE" w:rsidRDefault="00416DEE" w:rsidP="005C1711"/>
    <w:p w14:paraId="4FC8F8D7" w14:textId="31E58192" w:rsidR="00766ABA" w:rsidRDefault="00766ABA" w:rsidP="005C1711">
      <w:r>
        <w:t xml:space="preserve">Similarly, for the right hand side scenarios, one of the communicating devices may be out of coverage, in which case user or control plane association with an </w:t>
      </w:r>
      <w:proofErr w:type="spellStart"/>
      <w:r>
        <w:t>eNB</w:t>
      </w:r>
      <w:proofErr w:type="spellEnd"/>
      <w:r>
        <w:t xml:space="preserve"> cannot be assumed.</w:t>
      </w:r>
    </w:p>
    <w:p w14:paraId="4E93AD7D" w14:textId="5F2F182A" w:rsidR="00C93AD9" w:rsidRDefault="00C93AD9" w:rsidP="00C93AD9">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00346E45">
        <w:rPr>
          <w:rFonts w:asciiTheme="minorHAnsi" w:eastAsiaTheme="minorEastAsia" w:hAnsiTheme="minorHAnsi" w:cstheme="minorBidi"/>
          <w:b w:val="0"/>
          <w:sz w:val="22"/>
          <w:lang w:eastAsia="en-US"/>
        </w:rPr>
        <w:t>Unicast</w:t>
      </w:r>
      <w:r>
        <w:rPr>
          <w:rFonts w:asciiTheme="minorHAnsi" w:eastAsiaTheme="minorEastAsia" w:hAnsiTheme="minorHAnsi" w:cstheme="minorBidi"/>
          <w:b w:val="0"/>
          <w:sz w:val="22"/>
          <w:lang w:eastAsia="en-US"/>
        </w:rPr>
        <w:t xml:space="preserve"> D2D communications between two devices in the proximity of each other must be supported in full cellular coverage and partial coverage situations.</w:t>
      </w:r>
    </w:p>
    <w:p w14:paraId="46D80DA2" w14:textId="77777777" w:rsidR="00C93AD9" w:rsidRDefault="00C93AD9" w:rsidP="005C1711">
      <w:pPr>
        <w:rPr>
          <w:lang w:val="en-US"/>
        </w:rPr>
      </w:pPr>
    </w:p>
    <w:p w14:paraId="2AFC35D8" w14:textId="274019E6" w:rsidR="006F791D" w:rsidRDefault="006F791D" w:rsidP="005C1711">
      <w:pPr>
        <w:rPr>
          <w:lang w:val="en-US"/>
        </w:rPr>
      </w:pPr>
      <w:r>
        <w:rPr>
          <w:lang w:val="en-US"/>
        </w:rPr>
        <w:t>Based on these observations, the following proposal is intuitive.</w:t>
      </w:r>
    </w:p>
    <w:p w14:paraId="17D88F5D" w14:textId="77777777" w:rsidR="006F791D" w:rsidRDefault="006F791D" w:rsidP="006F791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t>For the NR sidelink design, unicast sidelink communications including relaying scenarios invoving a cellular eNB, a relaying device and source/destination device should be considered as a scenario for deriving requirements.</w:t>
      </w:r>
    </w:p>
    <w:p w14:paraId="4B9404F9" w14:textId="77777777" w:rsidR="006F791D" w:rsidRDefault="006F791D" w:rsidP="005C1711"/>
    <w:p w14:paraId="4CA87EB4" w14:textId="0B0D0AD9" w:rsidR="00766ABA" w:rsidRDefault="00766ABA" w:rsidP="005C1711">
      <w:r>
        <w:t xml:space="preserve">Although in Figure 1 the UE are illustrated as similar devices in terms of UE capabilities, it is clear that these UEs can, in fact, be </w:t>
      </w:r>
      <w:r w:rsidR="00416DEE">
        <w:t>dissimilar in terms of UE capabilities, transmit power levels, supported spectrum bands, processing power</w:t>
      </w:r>
      <w:r w:rsidR="00DB0420">
        <w:t>, number of transmit/receive antennas, relaying capabilities, battery capacity</w:t>
      </w:r>
      <w:r w:rsidR="00416DEE">
        <w:t xml:space="preserve"> and other features.</w:t>
      </w:r>
    </w:p>
    <w:p w14:paraId="653904BE" w14:textId="6307F53A" w:rsidR="00DB0420" w:rsidRDefault="00DB0420" w:rsidP="00DB0420">
      <w:pPr>
        <w:pStyle w:val="TOC1"/>
        <w:rPr>
          <w:rFonts w:asciiTheme="minorHAnsi" w:eastAsiaTheme="minorEastAsia" w:hAnsiTheme="minorHAnsi" w:cstheme="minorBidi"/>
          <w:b w:val="0"/>
          <w:sz w:val="22"/>
          <w:lang w:eastAsia="en-US"/>
        </w:rPr>
      </w:pPr>
      <w:r>
        <w:lastRenderedPageBreak/>
        <w:t>Observation 3</w:t>
      </w:r>
      <w:r>
        <w:rPr>
          <w:rFonts w:asciiTheme="minorHAnsi" w:eastAsiaTheme="minorEastAsia" w:hAnsiTheme="minorHAnsi" w:cstheme="minorBidi"/>
          <w:b w:val="0"/>
          <w:sz w:val="22"/>
          <w:lang w:eastAsia="en-US"/>
        </w:rPr>
        <w:tab/>
        <w:t>UE of diverse capabilities in terms of transmit power levels, supported frequency bands, transmit</w:t>
      </w:r>
      <w:r w:rsidR="001A120E">
        <w:rPr>
          <w:rFonts w:asciiTheme="minorHAnsi" w:eastAsiaTheme="minorEastAsia" w:hAnsiTheme="minorHAnsi" w:cstheme="minorBidi"/>
          <w:b w:val="0"/>
          <w:sz w:val="22"/>
          <w:lang w:eastAsia="en-US"/>
        </w:rPr>
        <w:t>/receive</w:t>
      </w:r>
      <w:r>
        <w:rPr>
          <w:rFonts w:asciiTheme="minorHAnsi" w:eastAsiaTheme="minorEastAsia" w:hAnsiTheme="minorHAnsi" w:cstheme="minorBidi"/>
          <w:b w:val="0"/>
          <w:sz w:val="22"/>
          <w:lang w:eastAsia="en-US"/>
        </w:rPr>
        <w:t xml:space="preserve"> antennas,</w:t>
      </w:r>
      <w:r w:rsidR="001A120E">
        <w:rPr>
          <w:rFonts w:asciiTheme="minorHAnsi" w:eastAsiaTheme="minorEastAsia" w:hAnsiTheme="minorHAnsi" w:cstheme="minorBidi"/>
          <w:b w:val="0"/>
          <w:sz w:val="22"/>
          <w:lang w:eastAsia="en-US"/>
        </w:rPr>
        <w:t xml:space="preserve"> complexity,</w:t>
      </w:r>
      <w:r>
        <w:rPr>
          <w:rFonts w:asciiTheme="minorHAnsi" w:eastAsiaTheme="minorEastAsia" w:hAnsiTheme="minorHAnsi" w:cstheme="minorBidi"/>
          <w:b w:val="0"/>
          <w:sz w:val="22"/>
          <w:lang w:eastAsia="en-US"/>
        </w:rPr>
        <w:t xml:space="preserve"> etc can be part of in-cover</w:t>
      </w:r>
      <w:r w:rsidR="001A120E">
        <w:rPr>
          <w:rFonts w:asciiTheme="minorHAnsi" w:eastAsiaTheme="minorEastAsia" w:hAnsiTheme="minorHAnsi" w:cstheme="minorBidi"/>
          <w:b w:val="0"/>
          <w:sz w:val="22"/>
          <w:lang w:eastAsia="en-US"/>
        </w:rPr>
        <w:t>age</w:t>
      </w:r>
      <w:r>
        <w:rPr>
          <w:rFonts w:asciiTheme="minorHAnsi" w:eastAsiaTheme="minorEastAsia" w:hAnsiTheme="minorHAnsi" w:cstheme="minorBidi"/>
          <w:b w:val="0"/>
          <w:sz w:val="22"/>
          <w:lang w:eastAsia="en-US"/>
        </w:rPr>
        <w:t xml:space="preserve"> and partial coverage situations in which sidelink transmissions must be supported.</w:t>
      </w:r>
    </w:p>
    <w:p w14:paraId="2C8F1B6D" w14:textId="77777777" w:rsidR="006F791D" w:rsidRDefault="006F791D" w:rsidP="005C1711"/>
    <w:p w14:paraId="46476A47" w14:textId="78D14C4B" w:rsidR="006F791D" w:rsidRDefault="006F791D" w:rsidP="005C1711">
      <w:r>
        <w:t>Therefore, we propose the following.</w:t>
      </w:r>
    </w:p>
    <w:p w14:paraId="6300C122" w14:textId="77777777" w:rsidR="006F791D" w:rsidRDefault="006F791D" w:rsidP="005C1711"/>
    <w:p w14:paraId="248F9693" w14:textId="23228935" w:rsidR="006F791D" w:rsidRDefault="006F791D" w:rsidP="006F791D">
      <w:pPr>
        <w:pStyle w:val="TOC1"/>
        <w:rPr>
          <w:rFonts w:asciiTheme="minorHAnsi" w:eastAsiaTheme="minorEastAsia" w:hAnsiTheme="minorHAnsi" w:cstheme="minorBidi"/>
          <w:b w:val="0"/>
          <w:sz w:val="22"/>
          <w:lang w:eastAsia="en-US"/>
        </w:rPr>
      </w:pPr>
      <w:r>
        <w:t>Proposal 3</w:t>
      </w:r>
      <w:r w:rsidR="007D05A6">
        <w:rPr>
          <w:rFonts w:asciiTheme="minorHAnsi" w:eastAsiaTheme="minorEastAsia" w:hAnsiTheme="minorHAnsi" w:cstheme="minorBidi"/>
          <w:b w:val="0"/>
          <w:sz w:val="22"/>
          <w:lang w:eastAsia="en-US"/>
        </w:rPr>
        <w:tab/>
        <w:t>The NR s</w:t>
      </w:r>
      <w:r>
        <w:rPr>
          <w:rFonts w:asciiTheme="minorHAnsi" w:eastAsiaTheme="minorEastAsia" w:hAnsiTheme="minorHAnsi" w:cstheme="minorBidi"/>
          <w:b w:val="0"/>
          <w:sz w:val="22"/>
          <w:lang w:eastAsia="en-US"/>
        </w:rPr>
        <w:t>i</w:t>
      </w:r>
      <w:r w:rsidR="007D05A6">
        <w:rPr>
          <w:rFonts w:asciiTheme="minorHAnsi" w:eastAsiaTheme="minorEastAsia" w:hAnsiTheme="minorHAnsi" w:cstheme="minorBidi"/>
          <w:b w:val="0"/>
          <w:sz w:val="22"/>
          <w:lang w:eastAsia="en-US"/>
        </w:rPr>
        <w:t>d</w:t>
      </w:r>
      <w:r>
        <w:rPr>
          <w:rFonts w:asciiTheme="minorHAnsi" w:eastAsiaTheme="minorEastAsia" w:hAnsiTheme="minorHAnsi" w:cstheme="minorBidi"/>
          <w:b w:val="0"/>
          <w:sz w:val="22"/>
          <w:lang w:eastAsia="en-US"/>
        </w:rPr>
        <w:t>elink design should take into account the diverse capabilities of devices capable of sidelink transmissions and reception. Such devices can be similar to a network node (eNB or relaying node) at one extreme or to a UE at the other extreme.</w:t>
      </w:r>
    </w:p>
    <w:p w14:paraId="76A931EC" w14:textId="77777777" w:rsidR="006F791D" w:rsidRDefault="006F791D" w:rsidP="005C1711"/>
    <w:p w14:paraId="36C857BE" w14:textId="42A61AB8" w:rsidR="00DB0420" w:rsidRDefault="008C2674" w:rsidP="005C1711">
      <w:r>
        <w:t xml:space="preserve">The scenarios of Figure 1 also suggest that for </w:t>
      </w:r>
      <w:proofErr w:type="spellStart"/>
      <w:r>
        <w:t>sidelink</w:t>
      </w:r>
      <w:proofErr w:type="spellEnd"/>
      <w:r>
        <w:t xml:space="preserve"> transmissions, it is advantageous to be able to utilize both cellular UL and DL resources. </w:t>
      </w:r>
      <w:r w:rsidR="00771139">
        <w:t xml:space="preserve">Thus, from </w:t>
      </w:r>
      <w:r w:rsidR="002D24E1">
        <w:t>an NR</w:t>
      </w:r>
      <w:r w:rsidR="00771139">
        <w:t xml:space="preserve"> </w:t>
      </w:r>
      <w:proofErr w:type="spellStart"/>
      <w:r w:rsidR="00771139">
        <w:t>sidelink</w:t>
      </w:r>
      <w:proofErr w:type="spellEnd"/>
      <w:r w:rsidR="00771139">
        <w:t xml:space="preserve"> design point of view, it is advantageous to use symmetric (in terms of UL and DL) waveforms and other physical layer characteristics.</w:t>
      </w:r>
    </w:p>
    <w:p w14:paraId="68E11725" w14:textId="531CCB57" w:rsidR="008C2674" w:rsidRDefault="008C2674" w:rsidP="008C2674">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rsidR="00771139">
        <w:rPr>
          <w:rFonts w:asciiTheme="minorHAnsi" w:eastAsiaTheme="minorEastAsia" w:hAnsiTheme="minorHAnsi" w:cstheme="minorBidi"/>
          <w:b w:val="0"/>
          <w:sz w:val="22"/>
          <w:lang w:eastAsia="en-US"/>
        </w:rPr>
        <w:t>Similar UL/DL waverforms and other similarities of UL/DL physical characteristics is advantageous for sidelink design</w:t>
      </w:r>
      <w:r>
        <w:rPr>
          <w:rFonts w:asciiTheme="minorHAnsi" w:eastAsiaTheme="minorEastAsia" w:hAnsiTheme="minorHAnsi" w:cstheme="minorBidi"/>
          <w:b w:val="0"/>
          <w:sz w:val="22"/>
          <w:lang w:eastAsia="en-US"/>
        </w:rPr>
        <w:t>.</w:t>
      </w:r>
    </w:p>
    <w:p w14:paraId="5C8DF997" w14:textId="77777777" w:rsidR="008C2674" w:rsidRPr="005C1711" w:rsidRDefault="008C2674" w:rsidP="005C1711"/>
    <w:p w14:paraId="2D0538BE" w14:textId="35B512A2" w:rsidR="00D00AE7" w:rsidRDefault="00D00AE7" w:rsidP="00D00AE7">
      <w:pPr>
        <w:pStyle w:val="Heading1"/>
        <w:rPr>
          <w:lang w:val="en-US"/>
        </w:rPr>
      </w:pPr>
      <w:r>
        <w:rPr>
          <w:lang w:val="en-US"/>
        </w:rPr>
        <w:t>Conclusion</w:t>
      </w:r>
      <w:r w:rsidR="00C93AD9">
        <w:rPr>
          <w:lang w:val="en-US"/>
        </w:rPr>
        <w:t xml:space="preserve"> and Proposals</w:t>
      </w:r>
    </w:p>
    <w:p w14:paraId="54179623" w14:textId="51C9AAF8" w:rsidR="00771139" w:rsidRDefault="00C77776" w:rsidP="007309B6">
      <w:pPr>
        <w:pStyle w:val="TOC1"/>
        <w:rPr>
          <w:rFonts w:asciiTheme="minorHAnsi" w:eastAsiaTheme="minorEastAsia" w:hAnsiTheme="minorHAnsi" w:cstheme="minorBidi"/>
          <w:b w:val="0"/>
          <w:sz w:val="22"/>
          <w:lang w:eastAsia="en-US"/>
        </w:rPr>
      </w:pPr>
      <w:r w:rsidRPr="008C2674">
        <w:rPr>
          <w:b w:val="0"/>
          <w:bCs/>
        </w:rPr>
        <w:fldChar w:fldCharType="begin"/>
      </w:r>
      <w:r w:rsidRPr="008C2674">
        <w:rPr>
          <w:b w:val="0"/>
          <w:bCs/>
        </w:rPr>
        <w:instrText xml:space="preserve"> TOC \f \n \t "Observation;1" </w:instrText>
      </w:r>
      <w:r w:rsidRPr="008C2674">
        <w:rPr>
          <w:b w:val="0"/>
          <w:bCs/>
        </w:rPr>
        <w:fldChar w:fldCharType="separate"/>
      </w:r>
    </w:p>
    <w:p w14:paraId="532F52F3" w14:textId="00EDADAB" w:rsidR="008C2674" w:rsidRPr="008C2674" w:rsidRDefault="008C2674">
      <w:pPr>
        <w:pStyle w:val="TOC1"/>
        <w:rPr>
          <w:rFonts w:asciiTheme="minorHAnsi" w:eastAsiaTheme="minorEastAsia" w:hAnsiTheme="minorHAnsi" w:cstheme="minorBidi"/>
          <w:sz w:val="22"/>
          <w:lang w:eastAsia="en-US"/>
        </w:rPr>
      </w:pPr>
      <w:r w:rsidRPr="008C2674">
        <w:rPr>
          <w:rFonts w:asciiTheme="minorHAnsi" w:eastAsiaTheme="minorEastAsia" w:hAnsiTheme="minorHAnsi" w:cstheme="minorBidi"/>
          <w:sz w:val="22"/>
          <w:lang w:eastAsia="en-US"/>
        </w:rPr>
        <w:t>Proposal</w:t>
      </w:r>
      <w:r w:rsidR="00771139">
        <w:rPr>
          <w:rFonts w:asciiTheme="minorHAnsi" w:eastAsiaTheme="minorEastAsia" w:hAnsiTheme="minorHAnsi" w:cstheme="minorBidi"/>
          <w:sz w:val="22"/>
          <w:lang w:eastAsia="en-US"/>
        </w:rPr>
        <w:t xml:space="preserve"> 1</w:t>
      </w:r>
      <w:r w:rsidRPr="008C2674">
        <w:rPr>
          <w:rFonts w:asciiTheme="minorHAnsi" w:eastAsiaTheme="minorEastAsia" w:hAnsiTheme="minorHAnsi" w:cstheme="minorBidi"/>
          <w:sz w:val="22"/>
          <w:lang w:eastAsia="en-US"/>
        </w:rPr>
        <w:tab/>
      </w:r>
      <w:r w:rsidR="002D24E1">
        <w:rPr>
          <w:rFonts w:asciiTheme="minorHAnsi" w:eastAsiaTheme="minorEastAsia" w:hAnsiTheme="minorHAnsi" w:cstheme="minorBidi"/>
          <w:b w:val="0"/>
          <w:sz w:val="22"/>
          <w:lang w:eastAsia="en-US"/>
        </w:rPr>
        <w:t>For NR</w:t>
      </w:r>
      <w:r w:rsidRPr="008C2674">
        <w:rPr>
          <w:rFonts w:asciiTheme="minorHAnsi" w:eastAsiaTheme="minorEastAsia" w:hAnsiTheme="minorHAnsi" w:cstheme="minorBidi"/>
          <w:b w:val="0"/>
          <w:sz w:val="22"/>
          <w:lang w:eastAsia="en-US"/>
        </w:rPr>
        <w:t xml:space="preserve">, </w:t>
      </w:r>
      <w:r>
        <w:rPr>
          <w:rFonts w:asciiTheme="minorHAnsi" w:eastAsiaTheme="minorEastAsia" w:hAnsiTheme="minorHAnsi" w:cstheme="minorBidi"/>
          <w:b w:val="0"/>
          <w:sz w:val="22"/>
          <w:lang w:eastAsia="en-US"/>
        </w:rPr>
        <w:t>sidelin</w:t>
      </w:r>
      <w:r w:rsidR="002D24E1">
        <w:rPr>
          <w:rFonts w:asciiTheme="minorHAnsi" w:eastAsiaTheme="minorEastAsia" w:hAnsiTheme="minorHAnsi" w:cstheme="minorBidi"/>
          <w:b w:val="0"/>
          <w:sz w:val="22"/>
          <w:lang w:eastAsia="en-US"/>
        </w:rPr>
        <w:t>k should be designed as an inte</w:t>
      </w:r>
      <w:r>
        <w:rPr>
          <w:rFonts w:asciiTheme="minorHAnsi" w:eastAsiaTheme="minorEastAsia" w:hAnsiTheme="minorHAnsi" w:cstheme="minorBidi"/>
          <w:b w:val="0"/>
          <w:sz w:val="22"/>
          <w:lang w:eastAsia="en-US"/>
        </w:rPr>
        <w:t>g</w:t>
      </w:r>
      <w:r w:rsidR="002D24E1">
        <w:rPr>
          <w:rFonts w:asciiTheme="minorHAnsi" w:eastAsiaTheme="minorEastAsia" w:hAnsiTheme="minorHAnsi" w:cstheme="minorBidi"/>
          <w:b w:val="0"/>
          <w:sz w:val="22"/>
          <w:lang w:eastAsia="en-US"/>
        </w:rPr>
        <w:t>r</w:t>
      </w:r>
      <w:r>
        <w:rPr>
          <w:rFonts w:asciiTheme="minorHAnsi" w:eastAsiaTheme="minorEastAsia" w:hAnsiTheme="minorHAnsi" w:cstheme="minorBidi"/>
          <w:b w:val="0"/>
          <w:sz w:val="22"/>
          <w:lang w:eastAsia="en-US"/>
        </w:rPr>
        <w:t>ated part of the system. This implies that the sidelink frame structure, waveform and other aspects should be as similar as possible to the design of similar features of UL and DL.</w:t>
      </w:r>
    </w:p>
    <w:p w14:paraId="6BE7B81C" w14:textId="40B0D106" w:rsidR="00CE3D86" w:rsidRDefault="00C77776">
      <w:pPr>
        <w:pStyle w:val="TOC1"/>
        <w:rPr>
          <w:rFonts w:asciiTheme="minorHAnsi" w:eastAsiaTheme="minorEastAsia" w:hAnsiTheme="minorHAnsi" w:cstheme="minorBidi"/>
          <w:b w:val="0"/>
          <w:sz w:val="22"/>
          <w:lang w:eastAsia="en-US"/>
        </w:rPr>
      </w:pPr>
      <w:r w:rsidRPr="008C2674">
        <w:rPr>
          <w:b w:val="0"/>
          <w:bCs/>
        </w:rPr>
        <w:fldChar w:fldCharType="end"/>
      </w:r>
      <w:r>
        <w:rPr>
          <w:b w:val="0"/>
          <w:bCs/>
        </w:rPr>
        <w:fldChar w:fldCharType="begin"/>
      </w:r>
      <w:r>
        <w:rPr>
          <w:bCs/>
        </w:rPr>
        <w:instrText xml:space="preserve"> TOC \f \n \p " " \t "Proposal;1" </w:instrText>
      </w:r>
      <w:r>
        <w:rPr>
          <w:b w:val="0"/>
          <w:bCs/>
        </w:rPr>
        <w:fldChar w:fldCharType="separate"/>
      </w:r>
      <w:r w:rsidR="00771139">
        <w:t>Proposal 2</w:t>
      </w:r>
      <w:r w:rsidR="00CE3D86">
        <w:rPr>
          <w:rFonts w:asciiTheme="minorHAnsi" w:eastAsiaTheme="minorEastAsia" w:hAnsiTheme="minorHAnsi" w:cstheme="minorBidi"/>
          <w:b w:val="0"/>
          <w:sz w:val="22"/>
          <w:lang w:eastAsia="en-US"/>
        </w:rPr>
        <w:tab/>
      </w:r>
      <w:r w:rsidR="002D24E1">
        <w:rPr>
          <w:rFonts w:asciiTheme="minorHAnsi" w:eastAsiaTheme="minorEastAsia" w:hAnsiTheme="minorHAnsi" w:cstheme="minorBidi"/>
          <w:b w:val="0"/>
          <w:sz w:val="22"/>
          <w:lang w:eastAsia="en-US"/>
        </w:rPr>
        <w:t>For the NR</w:t>
      </w:r>
      <w:r w:rsidR="00C93AD9">
        <w:rPr>
          <w:rFonts w:asciiTheme="minorHAnsi" w:eastAsiaTheme="minorEastAsia" w:hAnsiTheme="minorHAnsi" w:cstheme="minorBidi"/>
          <w:b w:val="0"/>
          <w:sz w:val="22"/>
          <w:lang w:eastAsia="en-US"/>
        </w:rPr>
        <w:t xml:space="preserve"> sidelink design, </w:t>
      </w:r>
      <w:r w:rsidR="006F791D">
        <w:rPr>
          <w:rFonts w:asciiTheme="minorHAnsi" w:eastAsiaTheme="minorEastAsia" w:hAnsiTheme="minorHAnsi" w:cstheme="minorBidi"/>
          <w:b w:val="0"/>
          <w:sz w:val="22"/>
          <w:lang w:eastAsia="en-US"/>
        </w:rPr>
        <w:t>unicast</w:t>
      </w:r>
      <w:r w:rsidR="00C93AD9">
        <w:rPr>
          <w:rFonts w:asciiTheme="minorHAnsi" w:eastAsiaTheme="minorEastAsia" w:hAnsiTheme="minorHAnsi" w:cstheme="minorBidi"/>
          <w:b w:val="0"/>
          <w:sz w:val="22"/>
          <w:lang w:eastAsia="en-US"/>
        </w:rPr>
        <w:t xml:space="preserve"> sidelink communications including relaying scenarios invoving a cellular eNB, a relaying device and source/destination device should be considered as a scenario for deriving requirements.</w:t>
      </w:r>
    </w:p>
    <w:p w14:paraId="71233D86" w14:textId="5930ECA0" w:rsidR="00C93AD9" w:rsidRDefault="00771139" w:rsidP="00C93AD9">
      <w:pPr>
        <w:pStyle w:val="TOC1"/>
        <w:rPr>
          <w:rFonts w:asciiTheme="minorHAnsi" w:eastAsiaTheme="minorEastAsia" w:hAnsiTheme="minorHAnsi" w:cstheme="minorBidi"/>
          <w:b w:val="0"/>
          <w:sz w:val="22"/>
          <w:lang w:eastAsia="en-US"/>
        </w:rPr>
      </w:pPr>
      <w:r>
        <w:t>Proposal 3</w:t>
      </w:r>
      <w:r w:rsidR="00CE3D86">
        <w:rPr>
          <w:rFonts w:asciiTheme="minorHAnsi" w:eastAsiaTheme="minorEastAsia" w:hAnsiTheme="minorHAnsi" w:cstheme="minorBidi"/>
          <w:b w:val="0"/>
          <w:sz w:val="22"/>
          <w:lang w:eastAsia="en-US"/>
        </w:rPr>
        <w:tab/>
      </w:r>
      <w:r w:rsidR="002D24E1">
        <w:rPr>
          <w:rFonts w:asciiTheme="minorHAnsi" w:eastAsiaTheme="minorEastAsia" w:hAnsiTheme="minorHAnsi" w:cstheme="minorBidi"/>
          <w:b w:val="0"/>
          <w:sz w:val="22"/>
          <w:lang w:eastAsia="en-US"/>
        </w:rPr>
        <w:t>The NR</w:t>
      </w:r>
      <w:r w:rsidR="007D05A6">
        <w:rPr>
          <w:rFonts w:asciiTheme="minorHAnsi" w:eastAsiaTheme="minorEastAsia" w:hAnsiTheme="minorHAnsi" w:cstheme="minorBidi"/>
          <w:b w:val="0"/>
          <w:sz w:val="22"/>
          <w:lang w:eastAsia="en-US"/>
        </w:rPr>
        <w:t xml:space="preserve"> s</w:t>
      </w:r>
      <w:r>
        <w:rPr>
          <w:rFonts w:asciiTheme="minorHAnsi" w:eastAsiaTheme="minorEastAsia" w:hAnsiTheme="minorHAnsi" w:cstheme="minorBidi"/>
          <w:b w:val="0"/>
          <w:sz w:val="22"/>
          <w:lang w:eastAsia="en-US"/>
        </w:rPr>
        <w:t>i</w:t>
      </w:r>
      <w:r w:rsidR="007D05A6">
        <w:rPr>
          <w:rFonts w:asciiTheme="minorHAnsi" w:eastAsiaTheme="minorEastAsia" w:hAnsiTheme="minorHAnsi" w:cstheme="minorBidi"/>
          <w:b w:val="0"/>
          <w:sz w:val="22"/>
          <w:lang w:eastAsia="en-US"/>
        </w:rPr>
        <w:t>d</w:t>
      </w:r>
      <w:r>
        <w:rPr>
          <w:rFonts w:asciiTheme="minorHAnsi" w:eastAsiaTheme="minorEastAsia" w:hAnsiTheme="minorHAnsi" w:cstheme="minorBidi"/>
          <w:b w:val="0"/>
          <w:sz w:val="22"/>
          <w:lang w:eastAsia="en-US"/>
        </w:rPr>
        <w:t>elink design should take into account the diverse capabilities of devices capable of sidelink transmissions and reception. Such devices can be similar to a network node (eNB or relaying node) at one extreme or to a UE at the other extreme.</w:t>
      </w:r>
    </w:p>
    <w:p w14:paraId="2F372279" w14:textId="77777777" w:rsidR="00D00AE7" w:rsidRPr="00C77776" w:rsidRDefault="00C77776" w:rsidP="00D00AE7">
      <w:pPr>
        <w:rPr>
          <w:iCs/>
        </w:rPr>
      </w:pPr>
      <w:r>
        <w:rPr>
          <w:b/>
          <w:bCs/>
        </w:rPr>
        <w:fldChar w:fldCharType="end"/>
      </w:r>
    </w:p>
    <w:p w14:paraId="71324A1B" w14:textId="77777777" w:rsidR="00D00AE7" w:rsidRPr="00A742FA" w:rsidRDefault="00D00AE7" w:rsidP="00D00AE7">
      <w:pPr>
        <w:pStyle w:val="Heading1"/>
        <w:rPr>
          <w:lang w:val="en-US"/>
        </w:rPr>
      </w:pPr>
      <w:r w:rsidRPr="00A742FA">
        <w:rPr>
          <w:lang w:val="en-US"/>
        </w:rPr>
        <w:t>Reference</w:t>
      </w:r>
      <w:r>
        <w:rPr>
          <w:lang w:val="en-US"/>
        </w:rPr>
        <w:t>s</w:t>
      </w:r>
    </w:p>
    <w:p w14:paraId="778DAED6" w14:textId="5170F2DD" w:rsidR="005A288A" w:rsidRPr="005A288A" w:rsidRDefault="004E6820" w:rsidP="00CE3D86">
      <w:pPr>
        <w:pStyle w:val="Reference"/>
        <w:keepNext/>
        <w:keepLines/>
        <w:rPr>
          <w:lang w:val="en-US"/>
        </w:rPr>
      </w:pPr>
      <w:bookmarkStart w:id="6" w:name="_Ref442441852"/>
      <w:bookmarkStart w:id="7" w:name="_Ref441562466"/>
      <w:r>
        <w:rPr>
          <w:lang w:val="en-US"/>
        </w:rPr>
        <w:t>SP-150149 “5G” Timeline in 3GPP</w:t>
      </w:r>
    </w:p>
    <w:p w14:paraId="751D3CD5" w14:textId="4838D7CE" w:rsidR="005A288A" w:rsidRPr="0020189A" w:rsidRDefault="004E6820" w:rsidP="00CE3D86">
      <w:pPr>
        <w:pStyle w:val="Reference"/>
        <w:keepNext/>
        <w:keepLines/>
        <w:rPr>
          <w:lang w:val="en-US"/>
        </w:rPr>
      </w:pPr>
      <w:r>
        <w:rPr>
          <w:lang w:val="en-US"/>
        </w:rPr>
        <w:t xml:space="preserve">RP-150041 </w:t>
      </w:r>
      <w:r>
        <w:t>ITU-R WP5D Liaison Statement to External Organizations on the Detailed WORK PLAN, TIMELINE, PROCESS AND DELIVERABLES for the Future Development of IMT</w:t>
      </w:r>
      <w:r w:rsidR="00746C85">
        <w:t>.</w:t>
      </w:r>
    </w:p>
    <w:p w14:paraId="09E55389" w14:textId="701ADA97" w:rsidR="00746C85" w:rsidRPr="00746C85" w:rsidRDefault="0020189A" w:rsidP="00746C85">
      <w:pPr>
        <w:pStyle w:val="Reference"/>
        <w:rPr>
          <w:lang w:val="en-US"/>
        </w:rPr>
      </w:pPr>
      <w:r>
        <w:t xml:space="preserve">METIS </w:t>
      </w:r>
      <w:r w:rsidR="00BC1046">
        <w:t xml:space="preserve">“Final Report on Network Level Solutions”, Deliverable 4.3, February 2015. Available at: </w:t>
      </w:r>
      <w:hyperlink r:id="rId10" w:history="1">
        <w:r w:rsidR="00746C85" w:rsidRPr="00CA1C11">
          <w:rPr>
            <w:rStyle w:val="Hyperlink"/>
          </w:rPr>
          <w:t>https://www.metis2020.com/documents/deliverables/</w:t>
        </w:r>
      </w:hyperlink>
    </w:p>
    <w:p w14:paraId="1584E10B" w14:textId="4CE8CF41" w:rsidR="00075D48" w:rsidRPr="005A288A" w:rsidRDefault="00BC1046" w:rsidP="00CE3D86">
      <w:pPr>
        <w:pStyle w:val="Reference"/>
        <w:keepNext/>
        <w:keepLines/>
        <w:rPr>
          <w:lang w:val="en-US"/>
        </w:rPr>
      </w:pPr>
      <w:r>
        <w:t xml:space="preserve">G. Fodor, E. Dahlman, S. </w:t>
      </w:r>
      <w:proofErr w:type="spellStart"/>
      <w:r>
        <w:t>Parkvall</w:t>
      </w:r>
      <w:proofErr w:type="spellEnd"/>
      <w:r>
        <w:t xml:space="preserve">, G. Mildh, N. </w:t>
      </w:r>
      <w:proofErr w:type="spellStart"/>
      <w:r>
        <w:t>Reider</w:t>
      </w:r>
      <w:proofErr w:type="spellEnd"/>
      <w:r>
        <w:t xml:space="preserve">, G. Miklos, Z. </w:t>
      </w:r>
      <w:proofErr w:type="spellStart"/>
      <w:r>
        <w:t>Turanyi</w:t>
      </w:r>
      <w:proofErr w:type="spellEnd"/>
      <w:r>
        <w:t xml:space="preserve">, “Design Aspects of Network Assisted D2D Communications”, </w:t>
      </w:r>
      <w:r w:rsidRPr="00BC1046">
        <w:rPr>
          <w:i/>
        </w:rPr>
        <w:t>IEEE Communications Magazine</w:t>
      </w:r>
      <w:r>
        <w:t>, Vol. 5, Issue 3, pp. 170-177, March 2012.</w:t>
      </w:r>
    </w:p>
    <w:bookmarkEnd w:id="6"/>
    <w:bookmarkEnd w:id="7"/>
    <w:p w14:paraId="3C905192" w14:textId="77777777" w:rsidR="003A7EF3" w:rsidRPr="00D00AE7" w:rsidRDefault="003A7EF3" w:rsidP="00D00AE7">
      <w:pPr>
        <w:rPr>
          <w:lang w:val="en-US"/>
        </w:rPr>
      </w:pPr>
    </w:p>
    <w:sectPr w:rsidR="003A7EF3" w:rsidRPr="00D00AE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8E194" w14:textId="77777777" w:rsidR="009E3C5A" w:rsidRDefault="009E3C5A">
      <w:r>
        <w:separator/>
      </w:r>
    </w:p>
  </w:endnote>
  <w:endnote w:type="continuationSeparator" w:id="0">
    <w:p w14:paraId="62125394" w14:textId="77777777" w:rsidR="009E3C5A" w:rsidRDefault="009E3C5A">
      <w:r>
        <w:continuationSeparator/>
      </w:r>
    </w:p>
  </w:endnote>
  <w:endnote w:type="continuationNotice" w:id="1">
    <w:p w14:paraId="237429BA" w14:textId="77777777" w:rsidR="009E3C5A" w:rsidRDefault="009E3C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CD26A" w14:textId="77777777" w:rsidR="00DA264B" w:rsidRDefault="00DA26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F059104" w:rsidR="001D0E26" w:rsidRPr="00DA264B" w:rsidRDefault="001D0E26" w:rsidP="00DA264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3B056" w14:textId="77777777" w:rsidR="00DA264B" w:rsidRDefault="00DA26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1E0D3" w14:textId="77777777" w:rsidR="009E3C5A" w:rsidRDefault="009E3C5A">
      <w:r>
        <w:separator/>
      </w:r>
    </w:p>
  </w:footnote>
  <w:footnote w:type="continuationSeparator" w:id="0">
    <w:p w14:paraId="394FEB21" w14:textId="77777777" w:rsidR="009E3C5A" w:rsidRDefault="009E3C5A">
      <w:r>
        <w:continuationSeparator/>
      </w:r>
    </w:p>
  </w:footnote>
  <w:footnote w:type="continuationNotice" w:id="1">
    <w:p w14:paraId="6BC72462" w14:textId="77777777" w:rsidR="009E3C5A" w:rsidRDefault="009E3C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13994D1A" w:rsidR="001D0E26" w:rsidRPr="00DA264B" w:rsidRDefault="001D0E26" w:rsidP="00DA26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D0E26" w:rsidRDefault="001D0E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86383" w14:textId="77777777" w:rsidR="00DA264B" w:rsidRDefault="00DA26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FCB1EC2"/>
    <w:multiLevelType w:val="multilevel"/>
    <w:tmpl w:val="85EE8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8">
    <w:nsid w:val="497260EA"/>
    <w:multiLevelType w:val="multilevel"/>
    <w:tmpl w:val="57F4B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D13591E"/>
    <w:multiLevelType w:val="hybridMultilevel"/>
    <w:tmpl w:val="15AA72E6"/>
    <w:lvl w:ilvl="0" w:tplc="AAECBE4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524882"/>
    <w:multiLevelType w:val="multilevel"/>
    <w:tmpl w:val="C35E6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3">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6">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12"/>
  </w:num>
  <w:num w:numId="4">
    <w:abstractNumId w:val="13"/>
  </w:num>
  <w:num w:numId="5">
    <w:abstractNumId w:val="10"/>
  </w:num>
  <w:num w:numId="6">
    <w:abstractNumId w:val="16"/>
  </w:num>
  <w:num w:numId="7">
    <w:abstractNumId w:val="26"/>
  </w:num>
  <w:num w:numId="8">
    <w:abstractNumId w:val="11"/>
  </w:num>
  <w:num w:numId="9">
    <w:abstractNumId w:val="9"/>
  </w:num>
  <w:num w:numId="10">
    <w:abstractNumId w:val="2"/>
  </w:num>
  <w:num w:numId="11">
    <w:abstractNumId w:val="1"/>
  </w:num>
  <w:num w:numId="12">
    <w:abstractNumId w:val="0"/>
  </w:num>
  <w:num w:numId="13">
    <w:abstractNumId w:val="22"/>
  </w:num>
  <w:num w:numId="14">
    <w:abstractNumId w:val="19"/>
  </w:num>
  <w:num w:numId="15">
    <w:abstractNumId w:val="5"/>
  </w:num>
  <w:num w:numId="16">
    <w:abstractNumId w:val="21"/>
  </w:num>
  <w:num w:numId="17">
    <w:abstractNumId w:val="15"/>
  </w:num>
  <w:num w:numId="18">
    <w:abstractNumId w:val="23"/>
  </w:num>
  <w:num w:numId="19">
    <w:abstractNumId w:val="24"/>
  </w:num>
  <w:num w:numId="20">
    <w:abstractNumId w:val="6"/>
  </w:num>
  <w:num w:numId="21">
    <w:abstractNumId w:val="32"/>
  </w:num>
  <w:num w:numId="22">
    <w:abstractNumId w:val="30"/>
  </w:num>
  <w:num w:numId="23">
    <w:abstractNumId w:val="7"/>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31"/>
  </w:num>
  <w:num w:numId="29">
    <w:abstractNumId w:val="34"/>
  </w:num>
  <w:num w:numId="30">
    <w:abstractNumId w:val="33"/>
  </w:num>
  <w:num w:numId="31">
    <w:abstractNumId w:val="28"/>
  </w:num>
  <w:num w:numId="32">
    <w:abstractNumId w:val="25"/>
  </w:num>
  <w:num w:numId="33">
    <w:abstractNumId w:val="8"/>
  </w:num>
  <w:num w:numId="34">
    <w:abstractNumId w:val="17"/>
  </w:num>
  <w:num w:numId="35">
    <w:abstractNumId w:val="35"/>
  </w:num>
  <w:num w:numId="36">
    <w:abstractNumId w:val="38"/>
  </w:num>
  <w:num w:numId="37">
    <w:abstractNumId w:val="37"/>
  </w:num>
  <w:num w:numId="38">
    <w:abstractNumId w:val="36"/>
  </w:num>
  <w:num w:numId="39">
    <w:abstractNumId w:val="3"/>
  </w:num>
  <w:num w:numId="40">
    <w:abstractNumId w:val="27"/>
  </w:num>
  <w:num w:numId="41">
    <w:abstractNumId w:val="18"/>
  </w:num>
  <w:num w:numId="42">
    <w:abstractNumId w:val="14"/>
  </w:num>
  <w:num w:numId="43">
    <w:abstractNumId w:val="29"/>
  </w:num>
  <w:num w:numId="44">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015"/>
    <w:rsid w:val="00052A07"/>
    <w:rsid w:val="000534E3"/>
    <w:rsid w:val="00055BC1"/>
    <w:rsid w:val="0005606A"/>
    <w:rsid w:val="00057117"/>
    <w:rsid w:val="000609B7"/>
    <w:rsid w:val="000616E7"/>
    <w:rsid w:val="0006487E"/>
    <w:rsid w:val="00065E1A"/>
    <w:rsid w:val="000668D7"/>
    <w:rsid w:val="00070FBD"/>
    <w:rsid w:val="00075D48"/>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344"/>
    <w:rsid w:val="00173A8E"/>
    <w:rsid w:val="00177587"/>
    <w:rsid w:val="0018143F"/>
    <w:rsid w:val="00190AC1"/>
    <w:rsid w:val="0019341A"/>
    <w:rsid w:val="001955A4"/>
    <w:rsid w:val="00197DF9"/>
    <w:rsid w:val="001A120E"/>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58E2"/>
    <w:rsid w:val="001E7AED"/>
    <w:rsid w:val="001F2689"/>
    <w:rsid w:val="001F3916"/>
    <w:rsid w:val="001F54C5"/>
    <w:rsid w:val="001F662C"/>
    <w:rsid w:val="001F7074"/>
    <w:rsid w:val="00200490"/>
    <w:rsid w:val="0020189A"/>
    <w:rsid w:val="00201F3A"/>
    <w:rsid w:val="00203F96"/>
    <w:rsid w:val="002069B2"/>
    <w:rsid w:val="00207FA3"/>
    <w:rsid w:val="0021200B"/>
    <w:rsid w:val="002147FB"/>
    <w:rsid w:val="00214DA8"/>
    <w:rsid w:val="00215423"/>
    <w:rsid w:val="002158FA"/>
    <w:rsid w:val="00220600"/>
    <w:rsid w:val="002224DB"/>
    <w:rsid w:val="00223FCB"/>
    <w:rsid w:val="002252C3"/>
    <w:rsid w:val="00225C54"/>
    <w:rsid w:val="00230749"/>
    <w:rsid w:val="00230765"/>
    <w:rsid w:val="00230D6D"/>
    <w:rsid w:val="002319E4"/>
    <w:rsid w:val="00235632"/>
    <w:rsid w:val="00235872"/>
    <w:rsid w:val="00236BF5"/>
    <w:rsid w:val="00241559"/>
    <w:rsid w:val="002435B3"/>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C41E6"/>
    <w:rsid w:val="002C52C8"/>
    <w:rsid w:val="002D071A"/>
    <w:rsid w:val="002D24E1"/>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31751"/>
    <w:rsid w:val="00334579"/>
    <w:rsid w:val="00335858"/>
    <w:rsid w:val="00336BDA"/>
    <w:rsid w:val="00342681"/>
    <w:rsid w:val="00342BD7"/>
    <w:rsid w:val="00346DB5"/>
    <w:rsid w:val="00346E45"/>
    <w:rsid w:val="003477B1"/>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16DEE"/>
    <w:rsid w:val="00421105"/>
    <w:rsid w:val="004242F4"/>
    <w:rsid w:val="00427248"/>
    <w:rsid w:val="004358F0"/>
    <w:rsid w:val="00437447"/>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3BB6"/>
    <w:rsid w:val="00486ACF"/>
    <w:rsid w:val="00492BC5"/>
    <w:rsid w:val="004964F1"/>
    <w:rsid w:val="00497F83"/>
    <w:rsid w:val="004A16BC"/>
    <w:rsid w:val="004A2B94"/>
    <w:rsid w:val="004A3021"/>
    <w:rsid w:val="004A7D56"/>
    <w:rsid w:val="004B72BA"/>
    <w:rsid w:val="004B7C0C"/>
    <w:rsid w:val="004C379F"/>
    <w:rsid w:val="004C3898"/>
    <w:rsid w:val="004C7E2C"/>
    <w:rsid w:val="004D1E06"/>
    <w:rsid w:val="004D36B1"/>
    <w:rsid w:val="004D7EBD"/>
    <w:rsid w:val="004E1AF8"/>
    <w:rsid w:val="004E2680"/>
    <w:rsid w:val="004E28F9"/>
    <w:rsid w:val="004E462E"/>
    <w:rsid w:val="004E56DC"/>
    <w:rsid w:val="004E6820"/>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231F"/>
    <w:rsid w:val="00554E19"/>
    <w:rsid w:val="0056121F"/>
    <w:rsid w:val="00565488"/>
    <w:rsid w:val="00572505"/>
    <w:rsid w:val="005736A1"/>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11"/>
    <w:rsid w:val="005C1729"/>
    <w:rsid w:val="005C74FB"/>
    <w:rsid w:val="005D1602"/>
    <w:rsid w:val="005D6F32"/>
    <w:rsid w:val="005E1503"/>
    <w:rsid w:val="005E385F"/>
    <w:rsid w:val="005E3CCA"/>
    <w:rsid w:val="005E5834"/>
    <w:rsid w:val="005E5B81"/>
    <w:rsid w:val="005F2CB1"/>
    <w:rsid w:val="005F3025"/>
    <w:rsid w:val="005F4E49"/>
    <w:rsid w:val="005F618C"/>
    <w:rsid w:val="005F70BD"/>
    <w:rsid w:val="00600F6A"/>
    <w:rsid w:val="006010AD"/>
    <w:rsid w:val="0060283C"/>
    <w:rsid w:val="00604F14"/>
    <w:rsid w:val="00605BE1"/>
    <w:rsid w:val="00611B83"/>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7522"/>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6F791D"/>
    <w:rsid w:val="007006BE"/>
    <w:rsid w:val="0070346E"/>
    <w:rsid w:val="00704EDB"/>
    <w:rsid w:val="00706101"/>
    <w:rsid w:val="00707072"/>
    <w:rsid w:val="00707D61"/>
    <w:rsid w:val="00712287"/>
    <w:rsid w:val="00712772"/>
    <w:rsid w:val="007148D3"/>
    <w:rsid w:val="00715B9A"/>
    <w:rsid w:val="00726EA6"/>
    <w:rsid w:val="00727208"/>
    <w:rsid w:val="00727680"/>
    <w:rsid w:val="007309B6"/>
    <w:rsid w:val="007348B1"/>
    <w:rsid w:val="00735268"/>
    <w:rsid w:val="007362A6"/>
    <w:rsid w:val="00736D7D"/>
    <w:rsid w:val="00740E58"/>
    <w:rsid w:val="0074428B"/>
    <w:rsid w:val="007445A0"/>
    <w:rsid w:val="0074524B"/>
    <w:rsid w:val="00746C85"/>
    <w:rsid w:val="00747D8B"/>
    <w:rsid w:val="007508A2"/>
    <w:rsid w:val="00751228"/>
    <w:rsid w:val="007571E1"/>
    <w:rsid w:val="007604B2"/>
    <w:rsid w:val="00765281"/>
    <w:rsid w:val="00766ABA"/>
    <w:rsid w:val="00766BAD"/>
    <w:rsid w:val="0076708C"/>
    <w:rsid w:val="00771139"/>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5A6"/>
    <w:rsid w:val="007D5901"/>
    <w:rsid w:val="007D7526"/>
    <w:rsid w:val="007E1DEB"/>
    <w:rsid w:val="007E4610"/>
    <w:rsid w:val="007E4715"/>
    <w:rsid w:val="007E505B"/>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31E9"/>
    <w:rsid w:val="0083700D"/>
    <w:rsid w:val="008376AC"/>
    <w:rsid w:val="008444E8"/>
    <w:rsid w:val="00844E80"/>
    <w:rsid w:val="00846FE7"/>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674"/>
    <w:rsid w:val="008C3368"/>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554B"/>
    <w:rsid w:val="0096584A"/>
    <w:rsid w:val="009675AA"/>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43"/>
    <w:rsid w:val="009B4DF4"/>
    <w:rsid w:val="009B564E"/>
    <w:rsid w:val="009B7E87"/>
    <w:rsid w:val="009B7FE9"/>
    <w:rsid w:val="009C403E"/>
    <w:rsid w:val="009D28AD"/>
    <w:rsid w:val="009D38B6"/>
    <w:rsid w:val="009D4FF0"/>
    <w:rsid w:val="009D703C"/>
    <w:rsid w:val="009D718F"/>
    <w:rsid w:val="009E068F"/>
    <w:rsid w:val="009E14E0"/>
    <w:rsid w:val="009E35DB"/>
    <w:rsid w:val="009E3C5A"/>
    <w:rsid w:val="009E47A3"/>
    <w:rsid w:val="009F08F3"/>
    <w:rsid w:val="009F344F"/>
    <w:rsid w:val="009F3FFA"/>
    <w:rsid w:val="009F7EC6"/>
    <w:rsid w:val="00A048A8"/>
    <w:rsid w:val="00A04F49"/>
    <w:rsid w:val="00A07A3D"/>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5B74"/>
    <w:rsid w:val="00A52E1D"/>
    <w:rsid w:val="00A56719"/>
    <w:rsid w:val="00A57A1E"/>
    <w:rsid w:val="00A61499"/>
    <w:rsid w:val="00A62A77"/>
    <w:rsid w:val="00A63483"/>
    <w:rsid w:val="00A657D7"/>
    <w:rsid w:val="00A660AC"/>
    <w:rsid w:val="00A67E6C"/>
    <w:rsid w:val="00A7147C"/>
    <w:rsid w:val="00A71B99"/>
    <w:rsid w:val="00A739D0"/>
    <w:rsid w:val="00A761D4"/>
    <w:rsid w:val="00A77EC4"/>
    <w:rsid w:val="00A80760"/>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1C5D"/>
    <w:rsid w:val="00AF42D7"/>
    <w:rsid w:val="00AF70B2"/>
    <w:rsid w:val="00B006FE"/>
    <w:rsid w:val="00B007CB"/>
    <w:rsid w:val="00B02AA9"/>
    <w:rsid w:val="00B02FA3"/>
    <w:rsid w:val="00B05084"/>
    <w:rsid w:val="00B157F9"/>
    <w:rsid w:val="00B16AFE"/>
    <w:rsid w:val="00B20256"/>
    <w:rsid w:val="00B20D09"/>
    <w:rsid w:val="00B222B8"/>
    <w:rsid w:val="00B2763F"/>
    <w:rsid w:val="00B27AAC"/>
    <w:rsid w:val="00B30929"/>
    <w:rsid w:val="00B372AA"/>
    <w:rsid w:val="00B40445"/>
    <w:rsid w:val="00B41888"/>
    <w:rsid w:val="00B436F4"/>
    <w:rsid w:val="00B45A52"/>
    <w:rsid w:val="00B46175"/>
    <w:rsid w:val="00B563F3"/>
    <w:rsid w:val="00B664C7"/>
    <w:rsid w:val="00B739F6"/>
    <w:rsid w:val="00B7527D"/>
    <w:rsid w:val="00B8088E"/>
    <w:rsid w:val="00B81396"/>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C0FDC"/>
    <w:rsid w:val="00BC1046"/>
    <w:rsid w:val="00BC3053"/>
    <w:rsid w:val="00BC4D2E"/>
    <w:rsid w:val="00BC6FD2"/>
    <w:rsid w:val="00BD09F7"/>
    <w:rsid w:val="00BD48AC"/>
    <w:rsid w:val="00BD5F1A"/>
    <w:rsid w:val="00BD7A42"/>
    <w:rsid w:val="00BE1234"/>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9027A"/>
    <w:rsid w:val="00C9068E"/>
    <w:rsid w:val="00C93AD9"/>
    <w:rsid w:val="00C93C4B"/>
    <w:rsid w:val="00C944AB"/>
    <w:rsid w:val="00C952E5"/>
    <w:rsid w:val="00C95B40"/>
    <w:rsid w:val="00CA1ED8"/>
    <w:rsid w:val="00CB1F63"/>
    <w:rsid w:val="00CB7170"/>
    <w:rsid w:val="00CB74CB"/>
    <w:rsid w:val="00CC040E"/>
    <w:rsid w:val="00CC111F"/>
    <w:rsid w:val="00CC2011"/>
    <w:rsid w:val="00CC2411"/>
    <w:rsid w:val="00CC3EA0"/>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39A7"/>
    <w:rsid w:val="00D23F47"/>
    <w:rsid w:val="00D32A9B"/>
    <w:rsid w:val="00D36E71"/>
    <w:rsid w:val="00D3710F"/>
    <w:rsid w:val="00D37D87"/>
    <w:rsid w:val="00D40B33"/>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7C4"/>
    <w:rsid w:val="00D86CA3"/>
    <w:rsid w:val="00D871CE"/>
    <w:rsid w:val="00D9196D"/>
    <w:rsid w:val="00D92982"/>
    <w:rsid w:val="00D95DF5"/>
    <w:rsid w:val="00DA1092"/>
    <w:rsid w:val="00DA264B"/>
    <w:rsid w:val="00DA305E"/>
    <w:rsid w:val="00DA5417"/>
    <w:rsid w:val="00DA56E8"/>
    <w:rsid w:val="00DB0420"/>
    <w:rsid w:val="00DB0A9F"/>
    <w:rsid w:val="00DB377D"/>
    <w:rsid w:val="00DB6176"/>
    <w:rsid w:val="00DC1C50"/>
    <w:rsid w:val="00DC2D36"/>
    <w:rsid w:val="00DC53EF"/>
    <w:rsid w:val="00DD6051"/>
    <w:rsid w:val="00DD6BE3"/>
    <w:rsid w:val="00DD6CA7"/>
    <w:rsid w:val="00DE3BDB"/>
    <w:rsid w:val="00DE5608"/>
    <w:rsid w:val="00DE58D0"/>
    <w:rsid w:val="00DE654F"/>
    <w:rsid w:val="00DF0B6E"/>
    <w:rsid w:val="00DF15E0"/>
    <w:rsid w:val="00DF1FAA"/>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2B18"/>
    <w:rsid w:val="00E34188"/>
    <w:rsid w:val="00E34B6E"/>
    <w:rsid w:val="00E35559"/>
    <w:rsid w:val="00E35D73"/>
    <w:rsid w:val="00E3723A"/>
    <w:rsid w:val="00E37860"/>
    <w:rsid w:val="00E446F1"/>
    <w:rsid w:val="00E447D4"/>
    <w:rsid w:val="00E46886"/>
    <w:rsid w:val="00E47787"/>
    <w:rsid w:val="00E47AEF"/>
    <w:rsid w:val="00E50DDC"/>
    <w:rsid w:val="00E52A05"/>
    <w:rsid w:val="00E53B75"/>
    <w:rsid w:val="00E54E3B"/>
    <w:rsid w:val="00E57565"/>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E7B39"/>
    <w:rsid w:val="00EF18FE"/>
    <w:rsid w:val="00EF3C81"/>
    <w:rsid w:val="00EF4221"/>
    <w:rsid w:val="00EF4C30"/>
    <w:rsid w:val="00EF5787"/>
    <w:rsid w:val="00EF60D0"/>
    <w:rsid w:val="00F02799"/>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844"/>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309B6"/>
    <w:rPr>
      <w:rFonts w:ascii="Arial" w:hAnsi="Arial" w:cs="Arial"/>
      <w:b/>
      <w:bCs/>
      <w:noProof/>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309B6"/>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94605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18025122">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05894145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microsoft.com/office/2011/relationships/commentsExtended" Target="commentsExtended.xml"/><Relationship Id="rId10" Type="http://schemas.openxmlformats.org/officeDocument/2006/relationships/hyperlink" Target="https://www.metis2020.com/documents/deliverables/"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290F1-8CDA-4DD2-AC5F-365376FB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2016-04-01T12:17:00Z</dcterms:created>
  <dcterms:modified xsi:type="dcterms:W3CDTF">2016-04-01T12:18:00Z</dcterms:modified>
</cp:coreProperties>
</file>